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2018学年度 上 学期 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七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15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19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947"/>
        <w:gridCol w:w="2985"/>
        <w:gridCol w:w="730"/>
        <w:gridCol w:w="1985"/>
        <w:gridCol w:w="255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173" w:type="dxa"/>
            <w:gridSpan w:val="3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</w:rPr>
              <w:t>说出自己的家和学校的位置，了解遇到危险时的处理方式。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用充满诗意的语言介绍云南，由此引出我国的一个少数民族：傣族。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3、通过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《我爱我家小竹楼》来认识这个少数民族的艺术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4、通过多种方式知道在公共场所拥挤的危害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遇到拥挤的时候不推不挤，并了解拥挤时保护自己的办法。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73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276" w:lineRule="auto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制作主题墙：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民族一家亲</w:t>
            </w:r>
          </w:p>
          <w:p>
            <w:pPr>
              <w:spacing w:line="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打造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班级科学区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17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pStyle w:val="3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家长帮助孩子恢复有规律的作息时间与习惯，积极来园。</w:t>
            </w:r>
          </w:p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ascii="宋体" w:hAnsi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</w:rPr>
              <w:t>3、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假期中应留意安全与卫生，提高孩子的自我保护的观念。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切西瓜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小蚂蚁过河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小猴子摘水果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小懒猫和小老鼠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小熊的朋友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小熊的朋友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科学：</w:t>
            </w:r>
            <w:r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</w:rPr>
              <w:t>竹楼的构造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音乐室：竹竿舞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谈话：我的假期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9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卫生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垃圾食品我不吃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语言：</w:t>
            </w:r>
            <w:r>
              <w:rPr>
                <w:rFonts w:hint="eastAsia" w:eastAsia="Times New Roman"/>
                <w:sz w:val="18"/>
                <w:szCs w:val="18"/>
              </w:rPr>
              <w:t>傣族民间故事欣赏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美工室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：</w:t>
            </w:r>
            <w:r>
              <w:rPr>
                <w:rFonts w:hint="eastAsia" w:eastAsia="Times New Roman"/>
                <w:sz w:val="18"/>
                <w:szCs w:val="18"/>
              </w:rPr>
              <w:t>制作竹楼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健康：我爱我家小竹楼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袋鼠跳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老鹰捉小鸡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踢沙包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揪尾巴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38AB"/>
    <w:multiLevelType w:val="multilevel"/>
    <w:tmpl w:val="559A38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8B8164B"/>
    <w:rsid w:val="79505CF4"/>
    <w:rsid w:val="7BDE71A6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1</TotalTime>
  <ScaleCrop>false</ScaleCrop>
  <LinksUpToDate>false</LinksUpToDate>
  <CharactersWithSpaces>1189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2018-10-12T07:48:43Z</cp:lastPrinted>
  <dcterms:modified xsi:type="dcterms:W3CDTF">2018-10-12T07:48:49Z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